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348A0" w14:textId="77777777" w:rsidR="00F87CBF" w:rsidRPr="00F87CBF" w:rsidRDefault="00F87CBF" w:rsidP="00F87CBF">
      <w:r w:rsidRPr="00F87CBF">
        <w:t xml:space="preserve">Inverness Graham Acquires </w:t>
      </w:r>
      <w:proofErr w:type="spellStart"/>
      <w:r w:rsidRPr="00F87CBF">
        <w:t>EasyLlama</w:t>
      </w:r>
      <w:proofErr w:type="spellEnd"/>
      <w:r w:rsidRPr="00F87CBF">
        <w:t>, Driving the Next Phase of Governance, Risk, and Compliance for SMBs</w:t>
      </w:r>
    </w:p>
    <w:p w14:paraId="1BB5E410" w14:textId="77777777" w:rsidR="00F87CBF" w:rsidRPr="00F87CBF" w:rsidRDefault="00F87CBF" w:rsidP="00F87CBF">
      <w:r w:rsidRPr="00F87CBF">
        <w:t xml:space="preserve">September 29, </w:t>
      </w:r>
      <w:proofErr w:type="gramStart"/>
      <w:r w:rsidRPr="00F87CBF">
        <w:t>2026</w:t>
      </w:r>
      <w:proofErr w:type="gramEnd"/>
      <w:r w:rsidRPr="00F87CBF">
        <w:t xml:space="preserve"> 11:00 </w:t>
      </w:r>
      <w:proofErr w:type="gramStart"/>
      <w:r w:rsidRPr="00F87CBF">
        <w:t>ET  |</w:t>
      </w:r>
      <w:proofErr w:type="gramEnd"/>
      <w:r w:rsidRPr="00F87CBF">
        <w:t xml:space="preserve"> Source: </w:t>
      </w:r>
      <w:hyperlink r:id="rId5" w:history="1">
        <w:r w:rsidRPr="00F87CBF">
          <w:rPr>
            <w:rStyle w:val="Hyperlink"/>
          </w:rPr>
          <w:t>Inverness Graham</w:t>
        </w:r>
      </w:hyperlink>
    </w:p>
    <w:p w14:paraId="0286C320" w14:textId="5A964593" w:rsidR="00F87CBF" w:rsidRPr="00F87CBF" w:rsidRDefault="00F87CBF" w:rsidP="00F87CBF">
      <w:r w:rsidRPr="00F87CBF">
        <w:pict w14:anchorId="1BBC31F4">
          <v:rect id="_x0000_i1042" style="width:0;height:0" o:hrstd="t" o:hr="t" fillcolor="#a0a0a0" stroked="f"/>
        </w:pict>
      </w:r>
    </w:p>
    <w:p w14:paraId="06F844CC" w14:textId="77777777" w:rsidR="00F87CBF" w:rsidRPr="00F87CBF" w:rsidRDefault="00F87CBF" w:rsidP="00F87CBF">
      <w:r w:rsidRPr="00F87CBF">
        <w:t xml:space="preserve">WAYNE, Pa., Sept. 29, 2026 (GLOBE NEWSWIRE) -- Inverness Graham today announced the majority recapitalization of </w:t>
      </w:r>
      <w:proofErr w:type="spellStart"/>
      <w:r w:rsidRPr="00F87CBF">
        <w:t>EasyLlama</w:t>
      </w:r>
      <w:proofErr w:type="spellEnd"/>
      <w:r w:rsidRPr="00F87CBF">
        <w:t xml:space="preserve">, a governance, risk, and compliance (“GRC”) solutions platform purpose-built for small and medium-sized businesses (“SMBs”). As SMBs face rapidly evolving state and federal compliance mandates, often operating with limited compliance functions, </w:t>
      </w:r>
      <w:proofErr w:type="spellStart"/>
      <w:r w:rsidRPr="00F87CBF">
        <w:t>EasyLlama</w:t>
      </w:r>
      <w:proofErr w:type="spellEnd"/>
      <w:r w:rsidRPr="00F87CBF">
        <w:t xml:space="preserve"> delivers a “compliance team in a box,” consolidating a category-leading course library, deep Human Resource Information Systems (“HRIS”) integrations, and AI-powered workflow automation into a unified, audit-ready system of record. </w:t>
      </w:r>
      <w:proofErr w:type="spellStart"/>
      <w:r w:rsidRPr="00F87CBF">
        <w:t>EasyLlama</w:t>
      </w:r>
      <w:proofErr w:type="spellEnd"/>
      <w:r w:rsidRPr="00F87CBF">
        <w:t xml:space="preserve"> is the modern, engaging alternative to traditional compliance training, with bite-sized, mobile-friendly content that employees </w:t>
      </w:r>
      <w:proofErr w:type="gramStart"/>
      <w:r w:rsidRPr="00F87CBF">
        <w:t>actually complete</w:t>
      </w:r>
      <w:proofErr w:type="gramEnd"/>
      <w:r w:rsidRPr="00F87CBF">
        <w:t>.</w:t>
      </w:r>
    </w:p>
    <w:p w14:paraId="7D73F2FE" w14:textId="77777777" w:rsidR="00F87CBF" w:rsidRPr="00F87CBF" w:rsidRDefault="00F87CBF" w:rsidP="00F87CBF">
      <w:r w:rsidRPr="00F87CBF">
        <w:t xml:space="preserve">Founded in 2019 in the wake of California Senate Bill 1343, which required all employers with five or more employees to provide harassment-prevention training, </w:t>
      </w:r>
      <w:proofErr w:type="spellStart"/>
      <w:r w:rsidRPr="00F87CBF">
        <w:t>EasyLlama</w:t>
      </w:r>
      <w:proofErr w:type="spellEnd"/>
      <w:r w:rsidRPr="00F87CBF">
        <w:t xml:space="preserve"> has grown from a single-purpose harassment-prevention tool into a comprehensive GRC platform spanning workplace risk and broader compliance workflows. The platform serves over 5,500 SMBs in high-cost-of-failure industries, including technology, healthcare, professional services, manufacturing, and food service and hospitality.</w:t>
      </w:r>
    </w:p>
    <w:p w14:paraId="643DE389" w14:textId="77777777" w:rsidR="00F87CBF" w:rsidRPr="00F87CBF" w:rsidRDefault="00F87CBF" w:rsidP="00F87CBF">
      <w:r w:rsidRPr="00F87CBF">
        <w:t xml:space="preserve">The investment further reinforces Inverness Graham's established track record in GRC and HR Technology, including prior investments in </w:t>
      </w:r>
      <w:proofErr w:type="spellStart"/>
      <w:r w:rsidRPr="00F87CBF">
        <w:t>Syntrio</w:t>
      </w:r>
      <w:proofErr w:type="spellEnd"/>
      <w:r w:rsidRPr="00F87CBF">
        <w:t xml:space="preserve"> (sold to </w:t>
      </w:r>
      <w:proofErr w:type="spellStart"/>
      <w:r w:rsidRPr="00F87CBF">
        <w:t>Mitratech</w:t>
      </w:r>
      <w:proofErr w:type="spellEnd"/>
      <w:r w:rsidRPr="00F87CBF">
        <w:t xml:space="preserve"> in 2024) and </w:t>
      </w:r>
      <w:proofErr w:type="spellStart"/>
      <w:r w:rsidRPr="00F87CBF">
        <w:t>Swipeclock</w:t>
      </w:r>
      <w:proofErr w:type="spellEnd"/>
      <w:r w:rsidRPr="00F87CBF">
        <w:t xml:space="preserve"> (sold to IRIS Software Group in 2024).</w:t>
      </w:r>
    </w:p>
    <w:p w14:paraId="354EF7A1" w14:textId="77777777" w:rsidR="00F87CBF" w:rsidRPr="00F87CBF" w:rsidRDefault="00F87CBF" w:rsidP="00F87CBF">
      <w:r w:rsidRPr="00F87CBF">
        <w:t xml:space="preserve">“Small businesses now face many of the same compliance requirements as large enterprises, but few have the resources to manage them alone,” said Chris Frystock, Partner at Inverness Graham. “We’ve spent years in this space, and we see a clear opportunity to accelerate </w:t>
      </w:r>
      <w:proofErr w:type="spellStart"/>
      <w:r w:rsidRPr="00F87CBF">
        <w:t>EasyLlama’s</w:t>
      </w:r>
      <w:proofErr w:type="spellEnd"/>
      <w:r w:rsidRPr="00F87CBF">
        <w:t xml:space="preserve"> growth. In partnership with management, we’ll build upon </w:t>
      </w:r>
      <w:proofErr w:type="spellStart"/>
      <w:r w:rsidRPr="00F87CBF">
        <w:t>EasyLlama’s</w:t>
      </w:r>
      <w:proofErr w:type="spellEnd"/>
      <w:r w:rsidRPr="00F87CBF">
        <w:t xml:space="preserve"> robust partner ecosystem, deepen its GRC software capabilities, and expand its application-specific content to help even more businesses stay ahead of compliance.”</w:t>
      </w:r>
    </w:p>
    <w:p w14:paraId="317EB4CE" w14:textId="77777777" w:rsidR="00F87CBF" w:rsidRPr="00F87CBF" w:rsidRDefault="00F87CBF" w:rsidP="00F87CBF">
      <w:r w:rsidRPr="00F87CBF">
        <w:t xml:space="preserve">“Inverness Graham’s proven GRC expertise made them the ideal partner for our next phase of growth,” said Samuel Devyver, Co-Founder and CEO of </w:t>
      </w:r>
      <w:proofErr w:type="spellStart"/>
      <w:r w:rsidRPr="00F87CBF">
        <w:t>EasyLlama</w:t>
      </w:r>
      <w:proofErr w:type="spellEnd"/>
      <w:r w:rsidRPr="00F87CBF">
        <w:t>. “We look forward to working together to scale the platform, both organically and through strategic acquisitions.”</w:t>
      </w:r>
    </w:p>
    <w:p w14:paraId="64EB0A17" w14:textId="77777777" w:rsidR="00F87CBF" w:rsidRPr="00F87CBF" w:rsidRDefault="00F87CBF" w:rsidP="00F87CBF">
      <w:r w:rsidRPr="00F87CBF">
        <w:lastRenderedPageBreak/>
        <w:t xml:space="preserve">Paul Hastings served as legal counsel and Shea &amp; </w:t>
      </w:r>
      <w:proofErr w:type="gramStart"/>
      <w:r w:rsidRPr="00F87CBF">
        <w:t>Company,</w:t>
      </w:r>
      <w:proofErr w:type="gramEnd"/>
      <w:r w:rsidRPr="00F87CBF">
        <w:t xml:space="preserve"> LLC acted as the exclusive financial advisor to Inverness Graham. Gunderson Dettmer served as legal counsel and Vista Point Advisors acted as the exclusive financial advisor to </w:t>
      </w:r>
      <w:proofErr w:type="spellStart"/>
      <w:r w:rsidRPr="00F87CBF">
        <w:t>EasyLlama</w:t>
      </w:r>
      <w:proofErr w:type="spellEnd"/>
      <w:r w:rsidRPr="00F87CBF">
        <w:t>. Terms of the transaction were not disclosed.</w:t>
      </w:r>
    </w:p>
    <w:p w14:paraId="27EF0A98" w14:textId="77777777" w:rsidR="00F87CBF" w:rsidRPr="00F87CBF" w:rsidRDefault="00F87CBF" w:rsidP="00F87CBF">
      <w:r w:rsidRPr="00F87CBF">
        <w:rPr>
          <w:b/>
          <w:bCs/>
        </w:rPr>
        <w:t>About Inverness Graham</w:t>
      </w:r>
    </w:p>
    <w:p w14:paraId="187634D3" w14:textId="77777777" w:rsidR="00F87CBF" w:rsidRPr="00F87CBF" w:rsidRDefault="00F87CBF" w:rsidP="00F87CBF">
      <w:hyperlink r:id="rId6" w:tgtFrame="_blank" w:tooltip="Inverness Graham" w:history="1">
        <w:r w:rsidRPr="00F87CBF">
          <w:rPr>
            <w:rStyle w:val="Hyperlink"/>
          </w:rPr>
          <w:t>Inverness Graham</w:t>
        </w:r>
      </w:hyperlink>
      <w:r w:rsidRPr="00F87CBF">
        <w:t xml:space="preserve"> is a Philadelphia-based, operationally focused private investment firm that partners with innovative, high-growth businesses where technology is transforming traditional industry. With more than $1.8 billion in assets under management, Inverness Graham brings institutional-scale capabilities to the North American lower middle market while maintaining a focused partnership approach with founders and management teams. The firm’s Flagship strategy targets high-growth businesses in Healthcare, Tech-Enabled Services and Software, and Advanced Manufacturing, while the Green Light strategy targets technology-enabled businesses where sustainability is a key driver of accelerated growth.</w:t>
      </w:r>
    </w:p>
    <w:p w14:paraId="09D540B2" w14:textId="77777777" w:rsidR="00F87CBF" w:rsidRPr="00F87CBF" w:rsidRDefault="00F87CBF" w:rsidP="00F87CBF">
      <w:r w:rsidRPr="00F87CBF">
        <w:t>Across its strategies, Inverness Graham combines deep sector expertise with an operationally intensive value creation playbook, leveraging dedicated resources across deal sourcing, operational improvement, transformative M&amp;A and AI enablement. Founded by senior executives of the Graham Group, the firm builds on a more than 60-year legacy of operational excellence and entrepreneurial leadership.</w:t>
      </w:r>
    </w:p>
    <w:p w14:paraId="551FAF6D" w14:textId="77777777" w:rsidR="00F87CBF" w:rsidRPr="00F87CBF" w:rsidRDefault="00F87CBF" w:rsidP="00F87CBF">
      <w:r w:rsidRPr="00F87CBF">
        <w:rPr>
          <w:b/>
          <w:bCs/>
        </w:rPr>
        <w:t>For further information, please contact:</w:t>
      </w:r>
      <w:r w:rsidRPr="00F87CBF">
        <w:br/>
        <w:t>Wilson Tong</w:t>
      </w:r>
      <w:r w:rsidRPr="00F87CBF">
        <w:br/>
      </w:r>
      <w:hyperlink r:id="rId7" w:tgtFrame="_blank" w:tooltip="wtong@invernessgraham.com" w:history="1">
        <w:r w:rsidRPr="00F87CBF">
          <w:rPr>
            <w:rStyle w:val="Hyperlink"/>
          </w:rPr>
          <w:t>wtong@invernessgraham.com</w:t>
        </w:r>
      </w:hyperlink>
      <w:r w:rsidRPr="00F87CBF">
        <w:br/>
        <w:t>610-722-0300</w:t>
      </w:r>
    </w:p>
    <w:p w14:paraId="3B99BC5E" w14:textId="49870955" w:rsidR="00F87CBF" w:rsidRPr="00F87CBF" w:rsidRDefault="00F87CBF" w:rsidP="00F87CBF">
      <w:r w:rsidRPr="00F87CBF">
        <w:br/>
      </w:r>
      <w:r w:rsidRPr="00F87CBF">
        <w:drawing>
          <wp:inline distT="0" distB="0" distL="0" distR="0" wp14:anchorId="13ECE754" wp14:editId="52600AB1">
            <wp:extent cx="9525" cy="9525"/>
            <wp:effectExtent l="0" t="0" r="0" b="0"/>
            <wp:docPr id="6949365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257C78E7" w14:textId="77777777" w:rsidR="00663D97" w:rsidRDefault="00663D97"/>
    <w:sectPr w:rsidR="00663D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DF330E"/>
    <w:multiLevelType w:val="multilevel"/>
    <w:tmpl w:val="D4347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61010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CBF"/>
    <w:rsid w:val="003C5129"/>
    <w:rsid w:val="00663D97"/>
    <w:rsid w:val="008422BE"/>
    <w:rsid w:val="00943E7A"/>
    <w:rsid w:val="00ED7165"/>
    <w:rsid w:val="00F87CBF"/>
    <w:rsid w:val="00FC40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12F7E"/>
  <w15:chartTrackingRefBased/>
  <w15:docId w15:val="{E5DD1080-8B0D-4532-90A3-2C3E475D9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7C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7C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7C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7C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7C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7C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7C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7C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7C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7C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7C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7C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7C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7C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7C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7C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7C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7CBF"/>
    <w:rPr>
      <w:rFonts w:eastAsiaTheme="majorEastAsia" w:cstheme="majorBidi"/>
      <w:color w:val="272727" w:themeColor="text1" w:themeTint="D8"/>
    </w:rPr>
  </w:style>
  <w:style w:type="paragraph" w:styleId="Title">
    <w:name w:val="Title"/>
    <w:basedOn w:val="Normal"/>
    <w:next w:val="Normal"/>
    <w:link w:val="TitleChar"/>
    <w:uiPriority w:val="10"/>
    <w:qFormat/>
    <w:rsid w:val="00F87C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7C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7C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7C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7CBF"/>
    <w:pPr>
      <w:spacing w:before="160"/>
      <w:jc w:val="center"/>
    </w:pPr>
    <w:rPr>
      <w:i/>
      <w:iCs/>
      <w:color w:val="404040" w:themeColor="text1" w:themeTint="BF"/>
    </w:rPr>
  </w:style>
  <w:style w:type="character" w:customStyle="1" w:styleId="QuoteChar">
    <w:name w:val="Quote Char"/>
    <w:basedOn w:val="DefaultParagraphFont"/>
    <w:link w:val="Quote"/>
    <w:uiPriority w:val="29"/>
    <w:rsid w:val="00F87CBF"/>
    <w:rPr>
      <w:i/>
      <w:iCs/>
      <w:color w:val="404040" w:themeColor="text1" w:themeTint="BF"/>
    </w:rPr>
  </w:style>
  <w:style w:type="paragraph" w:styleId="ListParagraph">
    <w:name w:val="List Paragraph"/>
    <w:basedOn w:val="Normal"/>
    <w:uiPriority w:val="34"/>
    <w:qFormat/>
    <w:rsid w:val="00F87CBF"/>
    <w:pPr>
      <w:ind w:left="720"/>
      <w:contextualSpacing/>
    </w:pPr>
  </w:style>
  <w:style w:type="character" w:styleId="IntenseEmphasis">
    <w:name w:val="Intense Emphasis"/>
    <w:basedOn w:val="DefaultParagraphFont"/>
    <w:uiPriority w:val="21"/>
    <w:qFormat/>
    <w:rsid w:val="00F87CBF"/>
    <w:rPr>
      <w:i/>
      <w:iCs/>
      <w:color w:val="0F4761" w:themeColor="accent1" w:themeShade="BF"/>
    </w:rPr>
  </w:style>
  <w:style w:type="paragraph" w:styleId="IntenseQuote">
    <w:name w:val="Intense Quote"/>
    <w:basedOn w:val="Normal"/>
    <w:next w:val="Normal"/>
    <w:link w:val="IntenseQuoteChar"/>
    <w:uiPriority w:val="30"/>
    <w:qFormat/>
    <w:rsid w:val="00F87C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7CBF"/>
    <w:rPr>
      <w:i/>
      <w:iCs/>
      <w:color w:val="0F4761" w:themeColor="accent1" w:themeShade="BF"/>
    </w:rPr>
  </w:style>
  <w:style w:type="character" w:styleId="IntenseReference">
    <w:name w:val="Intense Reference"/>
    <w:basedOn w:val="DefaultParagraphFont"/>
    <w:uiPriority w:val="32"/>
    <w:qFormat/>
    <w:rsid w:val="00F87CBF"/>
    <w:rPr>
      <w:b/>
      <w:bCs/>
      <w:smallCaps/>
      <w:color w:val="0F4761" w:themeColor="accent1" w:themeShade="BF"/>
      <w:spacing w:val="5"/>
    </w:rPr>
  </w:style>
  <w:style w:type="character" w:styleId="Hyperlink">
    <w:name w:val="Hyperlink"/>
    <w:basedOn w:val="DefaultParagraphFont"/>
    <w:uiPriority w:val="99"/>
    <w:unhideWhenUsed/>
    <w:rsid w:val="00F87CBF"/>
    <w:rPr>
      <w:color w:val="467886" w:themeColor="hyperlink"/>
      <w:u w:val="single"/>
    </w:rPr>
  </w:style>
  <w:style w:type="character" w:styleId="UnresolvedMention">
    <w:name w:val="Unresolved Mention"/>
    <w:basedOn w:val="DefaultParagraphFont"/>
    <w:uiPriority w:val="99"/>
    <w:semiHidden/>
    <w:unhideWhenUsed/>
    <w:rsid w:val="00F87C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ettings" Target="settings.xml"/><Relationship Id="rId7" Type="http://schemas.openxmlformats.org/officeDocument/2006/relationships/hyperlink" Target="https://www.globenewswire.com/Tracker?data=6hrJy75jKGrj471T4o510CdNYjh_Y2sxk8DgPMLTlVedoE3CCb2u8RzL6z4VIO-wg2OPF2Uaq2qgJsTnSbEyVIfTskEDLr1jmvLhWTmvPR8vgotL0GZ3Mkkz0nZLKb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lobenewswire.com/Tracker?data=4W1n6dOIX4vcGlIt9plvm7WtjxvhuUgN1kXI9S0rIHzoZFdIrvHjzaj5rbXkrcTqHBEOsSH8dHjn644uz8-7fNs8UV0-Hc3-R5nEi1OTOs4=" TargetMode="External"/><Relationship Id="rId5" Type="http://schemas.openxmlformats.org/officeDocument/2006/relationships/hyperlink" Target="https://www.globenewswire.com/en/search/organization/Inverness%2520Graha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667</Words>
  <Characters>3802</Characters>
  <Application>Microsoft Office Word</Application>
  <DocSecurity>0</DocSecurity>
  <Lines>31</Lines>
  <Paragraphs>8</Paragraphs>
  <ScaleCrop>false</ScaleCrop>
  <Company/>
  <LinksUpToDate>false</LinksUpToDate>
  <CharactersWithSpaces>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Guenard</dc:creator>
  <cp:keywords/>
  <dc:description/>
  <cp:lastModifiedBy>Taylor Guenard</cp:lastModifiedBy>
  <cp:revision>1</cp:revision>
  <dcterms:created xsi:type="dcterms:W3CDTF">2026-10-01T15:06:00Z</dcterms:created>
  <dcterms:modified xsi:type="dcterms:W3CDTF">2026-10-01T15:07:00Z</dcterms:modified>
</cp:coreProperties>
</file>